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7D7EC8" w:rsidRDefault="007D7EC8" w:rsidP="007D7EC8">
      <w:pPr>
        <w:adjustRightInd w:val="0"/>
        <w:jc w:val="center"/>
        <w:outlineLvl w:val="0"/>
        <w:rPr>
          <w:szCs w:val="20"/>
        </w:rPr>
      </w:pPr>
      <w:r w:rsidRPr="007D7EC8">
        <w:rPr>
          <w:szCs w:val="20"/>
        </w:rPr>
        <w:t>Руководство</w:t>
      </w:r>
    </w:p>
    <w:p w:rsidR="007D7EC8" w:rsidRDefault="007D7EC8" w:rsidP="007D7EC8">
      <w:pPr>
        <w:adjustRightInd w:val="0"/>
        <w:jc w:val="center"/>
        <w:outlineLvl w:val="0"/>
        <w:rPr>
          <w:szCs w:val="20"/>
        </w:rPr>
      </w:pPr>
      <w:r w:rsidRPr="007D7EC8">
        <w:rPr>
          <w:szCs w:val="20"/>
        </w:rPr>
        <w:t>по соблюдению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w:t>
      </w:r>
    </w:p>
    <w:p w:rsidR="007D7EC8" w:rsidRDefault="007D7EC8" w:rsidP="007D7EC8">
      <w:pPr>
        <w:adjustRightInd w:val="0"/>
        <w:ind w:firstLine="709"/>
        <w:jc w:val="both"/>
        <w:outlineLvl w:val="0"/>
        <w:rPr>
          <w:szCs w:val="20"/>
        </w:rPr>
      </w:pPr>
    </w:p>
    <w:p w:rsidR="007D7EC8" w:rsidRDefault="007D7EC8" w:rsidP="007D7EC8">
      <w:pPr>
        <w:adjustRightInd w:val="0"/>
        <w:ind w:firstLine="709"/>
        <w:jc w:val="both"/>
        <w:outlineLvl w:val="0"/>
        <w:rPr>
          <w:szCs w:val="20"/>
        </w:rPr>
      </w:pPr>
    </w:p>
    <w:p w:rsidR="007D7EC8" w:rsidRDefault="007D7EC8" w:rsidP="007D7EC8">
      <w:pPr>
        <w:adjustRightInd w:val="0"/>
        <w:ind w:firstLine="709"/>
        <w:jc w:val="both"/>
        <w:outlineLvl w:val="0"/>
        <w:rPr>
          <w:szCs w:val="20"/>
        </w:rPr>
      </w:pPr>
      <w:r w:rsidRPr="007D7EC8">
        <w:rPr>
          <w:szCs w:val="20"/>
        </w:rPr>
        <w:t>Настоящее руководство разработано в соответствии с пунктом 5 части 3 статьи 46 Федерального закона от 31.07.2020 №</w:t>
      </w:r>
      <w:r>
        <w:rPr>
          <w:szCs w:val="20"/>
        </w:rPr>
        <w:t xml:space="preserve"> 248-ФЗ «</w:t>
      </w:r>
      <w:r w:rsidRPr="007D7EC8">
        <w:rPr>
          <w:szCs w:val="20"/>
        </w:rPr>
        <w:t xml:space="preserve">О государственном контроле (надзоре) и муниципальном </w:t>
      </w:r>
      <w:r>
        <w:rPr>
          <w:szCs w:val="20"/>
        </w:rPr>
        <w:t>контроле в Российской Федерации»</w:t>
      </w:r>
      <w:r w:rsidRPr="007D7EC8">
        <w:rPr>
          <w:szCs w:val="20"/>
        </w:rPr>
        <w:t xml:space="preserve">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на автомобильном транспорте, городском наземном электрическом транспорте и в дорожном хозяйстве</w:t>
      </w:r>
      <w:r w:rsidR="00EE1FB4">
        <w:rPr>
          <w:szCs w:val="20"/>
        </w:rPr>
        <w:t xml:space="preserve"> (далее – «Муниципальный контроль»)</w:t>
      </w:r>
      <w:r w:rsidRPr="007D7EC8">
        <w:rPr>
          <w:szCs w:val="20"/>
        </w:rPr>
        <w:t>.</w:t>
      </w:r>
    </w:p>
    <w:p w:rsidR="007D7EC8" w:rsidRDefault="007D7EC8" w:rsidP="007D7EC8">
      <w:pPr>
        <w:adjustRightInd w:val="0"/>
        <w:ind w:firstLine="709"/>
        <w:jc w:val="both"/>
        <w:outlineLvl w:val="0"/>
        <w:rPr>
          <w:szCs w:val="20"/>
        </w:rPr>
      </w:pPr>
      <w:r w:rsidRPr="007D7EC8">
        <w:rPr>
          <w:szCs w:val="20"/>
        </w:rPr>
        <w:t>Предметом муниципального контроля являются соблюдение контролируемыми лицами обязательных требований в сфере автомобильных дорог и дорожной деятельности, установленных в отношении автомобильных дорог местного значения, расположенных вне границ населенных пунктов в границах Нижневартовского района, установленных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E1FB4">
        <w:rPr>
          <w:szCs w:val="20"/>
        </w:rPr>
        <w:t>»</w:t>
      </w:r>
      <w:r w:rsidRPr="007D7EC8">
        <w:rPr>
          <w:szCs w:val="20"/>
        </w:rPr>
        <w:t xml:space="preserve"> и иными принимаемыми                                   в соответствии с ними нормативными правовыми актами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E1FB4" w:rsidRPr="00EE1FB4" w:rsidRDefault="00EE1FB4" w:rsidP="00EE1FB4">
      <w:pPr>
        <w:adjustRightInd w:val="0"/>
        <w:ind w:firstLine="709"/>
        <w:jc w:val="both"/>
        <w:outlineLvl w:val="0"/>
        <w:rPr>
          <w:szCs w:val="20"/>
        </w:rPr>
      </w:pPr>
      <w:r w:rsidRPr="00EE1FB4">
        <w:rPr>
          <w:szCs w:val="20"/>
        </w:rPr>
        <w:t>Органом, уполномоченным на осуществление муниципального контроля, является отдел транспорта и связи администрации Нижневартовского района (далее – контрольный орган).</w:t>
      </w:r>
    </w:p>
    <w:p w:rsidR="00EE1FB4" w:rsidRDefault="00EE1FB4" w:rsidP="00EE1FB4">
      <w:pPr>
        <w:adjustRightInd w:val="0"/>
        <w:ind w:firstLine="709"/>
        <w:jc w:val="both"/>
        <w:outlineLvl w:val="0"/>
        <w:rPr>
          <w:szCs w:val="20"/>
        </w:rPr>
      </w:pPr>
      <w:r>
        <w:rPr>
          <w:szCs w:val="20"/>
        </w:rPr>
        <w:t xml:space="preserve"> </w:t>
      </w:r>
      <w:r w:rsidRPr="00EE1FB4">
        <w:rPr>
          <w:szCs w:val="20"/>
        </w:rPr>
        <w:t>Объектами контроля являются автомобильные дороги местного значения и искусственные сооружения на них расположенные вне границ населенных пунктов в границах Нижневартовского района, к которым предъявляются обязательные требования.</w:t>
      </w:r>
    </w:p>
    <w:p w:rsidR="00EE1FB4" w:rsidRPr="00EE1FB4" w:rsidRDefault="00EE1FB4" w:rsidP="00EE1FB4">
      <w:pPr>
        <w:adjustRightInd w:val="0"/>
        <w:ind w:firstLine="709"/>
        <w:jc w:val="both"/>
        <w:outlineLvl w:val="0"/>
        <w:rPr>
          <w:szCs w:val="20"/>
        </w:rPr>
      </w:pPr>
      <w:r w:rsidRPr="00EE1FB4">
        <w:rPr>
          <w:szCs w:val="20"/>
        </w:rPr>
        <w:t>Муниципальный контроль осуществляется посредством проведения:</w:t>
      </w:r>
    </w:p>
    <w:p w:rsidR="00EE1FB4" w:rsidRPr="00EE1FB4" w:rsidRDefault="00EE1FB4" w:rsidP="00EE1FB4">
      <w:pPr>
        <w:adjustRightInd w:val="0"/>
        <w:ind w:firstLine="709"/>
        <w:jc w:val="both"/>
        <w:outlineLvl w:val="0"/>
        <w:rPr>
          <w:szCs w:val="20"/>
        </w:rPr>
      </w:pPr>
      <w:r w:rsidRPr="00EE1FB4">
        <w:rPr>
          <w:szCs w:val="20"/>
        </w:rPr>
        <w:t xml:space="preserve"> 1) профилактических мероприятий;</w:t>
      </w:r>
    </w:p>
    <w:p w:rsidR="00EE1FB4" w:rsidRPr="00EE1FB4" w:rsidRDefault="00EE1FB4" w:rsidP="00EE1FB4">
      <w:pPr>
        <w:adjustRightInd w:val="0"/>
        <w:ind w:firstLine="709"/>
        <w:jc w:val="both"/>
        <w:outlineLvl w:val="0"/>
        <w:rPr>
          <w:szCs w:val="20"/>
        </w:rPr>
      </w:pPr>
      <w:r w:rsidRPr="00EE1FB4">
        <w:rPr>
          <w:szCs w:val="20"/>
        </w:rPr>
        <w:t xml:space="preserve"> 2) контрольных мероприятий со взаимодействием с контролируемым лицом;</w:t>
      </w:r>
    </w:p>
    <w:p w:rsidR="00EE1FB4" w:rsidRDefault="00EE1FB4" w:rsidP="00EE1FB4">
      <w:pPr>
        <w:adjustRightInd w:val="0"/>
        <w:ind w:firstLine="709"/>
        <w:jc w:val="both"/>
        <w:outlineLvl w:val="0"/>
        <w:rPr>
          <w:szCs w:val="20"/>
        </w:rPr>
      </w:pPr>
      <w:r w:rsidRPr="00EE1FB4">
        <w:rPr>
          <w:szCs w:val="20"/>
        </w:rPr>
        <w:t xml:space="preserve"> 3) контрольных мероприятий без взаимодействия с контролируемым лицом.  </w:t>
      </w:r>
    </w:p>
    <w:p w:rsidR="007336CC" w:rsidRDefault="007336CC" w:rsidP="00EE1FB4">
      <w:pPr>
        <w:adjustRightInd w:val="0"/>
        <w:ind w:firstLine="709"/>
        <w:jc w:val="both"/>
        <w:outlineLvl w:val="0"/>
        <w:rPr>
          <w:szCs w:val="20"/>
        </w:rPr>
      </w:pPr>
      <w:r w:rsidRPr="007336CC">
        <w:rPr>
          <w:szCs w:val="20"/>
        </w:rPr>
        <w:t xml:space="preserve">Определение основ функционирования автомобильных дорог, обеспечение сохранности и развития автомобильных дорог, улучшение </w:t>
      </w:r>
      <w:r w:rsidR="008D5DA8">
        <w:rPr>
          <w:szCs w:val="20"/>
        </w:rPr>
        <w:t xml:space="preserve">их </w:t>
      </w:r>
      <w:r w:rsidRPr="007336CC">
        <w:rPr>
          <w:szCs w:val="20"/>
        </w:rPr>
        <w:lastRenderedPageBreak/>
        <w:t>технического состояния,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и искусственны</w:t>
      </w:r>
      <w:r>
        <w:rPr>
          <w:szCs w:val="20"/>
        </w:rPr>
        <w:t>х</w:t>
      </w:r>
      <w:r w:rsidRPr="007336CC">
        <w:rPr>
          <w:szCs w:val="20"/>
        </w:rPr>
        <w:t xml:space="preserve"> сооружения на них расположенные вне границ населенных пунктов в границах Нижневартовского района</w:t>
      </w:r>
      <w:r>
        <w:rPr>
          <w:szCs w:val="20"/>
        </w:rPr>
        <w:t xml:space="preserve">. </w:t>
      </w:r>
      <w:r w:rsidRPr="007336CC">
        <w:rPr>
          <w:szCs w:val="20"/>
        </w:rPr>
        <w:t xml:space="preserve">Перечень автомобильных дорог общего пользования местного значения Нижневартовского района утверждается </w:t>
      </w:r>
      <w:r>
        <w:rPr>
          <w:szCs w:val="20"/>
        </w:rPr>
        <w:t>постановлением</w:t>
      </w:r>
      <w:r w:rsidRPr="007336CC">
        <w:rPr>
          <w:szCs w:val="20"/>
        </w:rPr>
        <w:t xml:space="preserve"> администрации</w:t>
      </w:r>
      <w:r w:rsidRPr="007336CC">
        <w:t xml:space="preserve"> </w:t>
      </w:r>
      <w:r w:rsidRPr="007336CC">
        <w:rPr>
          <w:szCs w:val="20"/>
        </w:rPr>
        <w:t>Нижневартовского района.</w:t>
      </w:r>
    </w:p>
    <w:p w:rsidR="008E4DF2" w:rsidRDefault="00D6528F" w:rsidP="00EE1FB4">
      <w:pPr>
        <w:adjustRightInd w:val="0"/>
        <w:ind w:firstLine="709"/>
        <w:jc w:val="both"/>
        <w:outlineLvl w:val="0"/>
        <w:rPr>
          <w:szCs w:val="20"/>
        </w:rPr>
      </w:pPr>
      <w:r>
        <w:rPr>
          <w:szCs w:val="20"/>
        </w:rPr>
        <w:t xml:space="preserve">Содержание </w:t>
      </w:r>
      <w:r w:rsidRPr="00D6528F">
        <w:rPr>
          <w:szCs w:val="20"/>
        </w:rPr>
        <w:t>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w:t>
      </w:r>
      <w:r>
        <w:rPr>
          <w:szCs w:val="20"/>
        </w:rPr>
        <w:t xml:space="preserve"> района:</w:t>
      </w:r>
    </w:p>
    <w:p w:rsidR="008E4DF2" w:rsidRDefault="008E4DF2" w:rsidP="00EE1FB4">
      <w:pPr>
        <w:adjustRightInd w:val="0"/>
        <w:ind w:firstLine="709"/>
        <w:jc w:val="both"/>
        <w:outlineLvl w:val="0"/>
        <w:rPr>
          <w:szCs w:val="20"/>
        </w:rPr>
      </w:pPr>
    </w:p>
    <w:tbl>
      <w:tblPr>
        <w:tblW w:w="9648" w:type="dxa"/>
        <w:tblInd w:w="62" w:type="dxa"/>
        <w:tblLayout w:type="fixed"/>
        <w:tblCellMar>
          <w:top w:w="102" w:type="dxa"/>
          <w:left w:w="62" w:type="dxa"/>
          <w:bottom w:w="102" w:type="dxa"/>
          <w:right w:w="62" w:type="dxa"/>
        </w:tblCellMar>
        <w:tblLook w:val="0000" w:firstRow="0" w:lastRow="0" w:firstColumn="0" w:lastColumn="0" w:noHBand="0" w:noVBand="0"/>
      </w:tblPr>
      <w:tblGrid>
        <w:gridCol w:w="4895"/>
        <w:gridCol w:w="4753"/>
      </w:tblGrid>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FD618A">
            <w:pPr>
              <w:adjustRightInd w:val="0"/>
              <w:ind w:firstLine="300"/>
              <w:jc w:val="center"/>
              <w:outlineLvl w:val="0"/>
            </w:pPr>
            <w:r w:rsidRPr="00E33896">
              <w:t>Содержание обязательных требований</w:t>
            </w:r>
          </w:p>
        </w:tc>
        <w:tc>
          <w:tcPr>
            <w:tcW w:w="4753" w:type="dxa"/>
            <w:tcBorders>
              <w:top w:val="single" w:sz="4" w:space="0" w:color="auto"/>
              <w:left w:val="single" w:sz="4" w:space="0" w:color="auto"/>
              <w:bottom w:val="single" w:sz="4" w:space="0" w:color="auto"/>
              <w:right w:val="single" w:sz="4" w:space="0" w:color="auto"/>
            </w:tcBorders>
          </w:tcPr>
          <w:p w:rsidR="00365426" w:rsidRPr="005A3A5B" w:rsidRDefault="00365426" w:rsidP="005A3A5B">
            <w:pPr>
              <w:adjustRightInd w:val="0"/>
              <w:ind w:firstLine="300"/>
              <w:jc w:val="center"/>
              <w:outlineLvl w:val="0"/>
            </w:pPr>
            <w:r w:rsidRPr="00E33896">
              <w:t>Реквизиты нормативного правового акта, (подзаконного правового акта), содержащего обязательные требования</w:t>
            </w:r>
            <w:r w:rsidR="005A3A5B">
              <w:t xml:space="preserve">, </w:t>
            </w:r>
            <w:r w:rsidR="005A3A5B" w:rsidRPr="005A3A5B">
              <w:t>с указанием структурных единиц</w:t>
            </w: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FD618A">
            <w:pPr>
              <w:adjustRightInd w:val="0"/>
              <w:ind w:firstLine="300"/>
              <w:jc w:val="both"/>
              <w:outlineLvl w:val="0"/>
            </w:pPr>
            <w:r w:rsidRPr="00E33896">
              <w:t>Осуществление работ по капитальному ремонту автомобильных дорог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FD618A">
            <w:pPr>
              <w:adjustRightInd w:val="0"/>
              <w:ind w:firstLine="300"/>
              <w:jc w:val="both"/>
              <w:outlineLvl w:val="0"/>
            </w:pPr>
            <w:r w:rsidRPr="00E33896">
              <w:t>часть 1 статьи 16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w:t>
            </w:r>
            <w:bookmarkStart w:id="0" w:name="_GoBack"/>
            <w:bookmarkEnd w:id="0"/>
            <w:r w:rsidRPr="00E33896">
              <w:t>е акты Российской Федерации»</w:t>
            </w:r>
          </w:p>
          <w:p w:rsidR="00365426" w:rsidRPr="00E33896" w:rsidRDefault="00365426" w:rsidP="00FD618A">
            <w:pPr>
              <w:adjustRightInd w:val="0"/>
              <w:ind w:firstLine="300"/>
              <w:jc w:val="both"/>
              <w:outlineLvl w:val="0"/>
              <w:rPr>
                <w:b/>
              </w:rPr>
            </w:pP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FD618A">
            <w:pPr>
              <w:adjustRightInd w:val="0"/>
              <w:ind w:firstLine="300"/>
              <w:jc w:val="both"/>
              <w:outlineLvl w:val="0"/>
            </w:pPr>
            <w:r w:rsidRPr="00E33896">
              <w:t xml:space="preserve">Соблюдение классификации работ по капитальному ремонту автомобильных дорог, установленной федеральным органом исполнительной власти, осуществляющим функции по </w:t>
            </w:r>
            <w:r w:rsidRPr="00E33896">
              <w:lastRenderedPageBreak/>
              <w:t>выработке государственной политики и нормативно-правовому регулированию в сфере дорожного хозяйств</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FD618A">
            <w:pPr>
              <w:adjustRightInd w:val="0"/>
              <w:ind w:firstLine="300"/>
              <w:jc w:val="both"/>
              <w:outlineLvl w:val="0"/>
            </w:pPr>
            <w:r w:rsidRPr="00E33896">
              <w:lastRenderedPageBreak/>
              <w:t xml:space="preserve">часть 4 статьи 16 Федерального закона от 8 ноября 2007 года № 257-ФЗ «Об автомобильных дорогах и о дорожной деятельности в Российской Федерации и о внесении изменений в </w:t>
            </w:r>
            <w:r w:rsidRPr="00E33896">
              <w:lastRenderedPageBreak/>
              <w:t>отдельные законодательные акты Российской Федерации»;</w:t>
            </w:r>
          </w:p>
          <w:p w:rsidR="00365426" w:rsidRPr="00E33896" w:rsidRDefault="00365426" w:rsidP="00FD618A">
            <w:pPr>
              <w:adjustRightInd w:val="0"/>
              <w:ind w:firstLine="300"/>
              <w:jc w:val="both"/>
              <w:outlineLvl w:val="0"/>
              <w:rPr>
                <w:b/>
              </w:rPr>
            </w:pPr>
            <w:r w:rsidRPr="00E33896">
              <w:t>раздел 2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lastRenderedPageBreak/>
              <w:t xml:space="preserve">Осуществление ремонта автомобильных дорог в соответствии с требованиями технических </w:t>
            </w:r>
            <w:hyperlink r:id="rId8" w:history="1">
              <w:r w:rsidRPr="00E33896">
                <w:t>регламентов</w:t>
              </w:r>
            </w:hyperlink>
            <w:r w:rsidRPr="00E33896">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часть 1 статьи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Соблюдение классификации работ по ремонту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часть 3 статьи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5426" w:rsidRPr="00E33896" w:rsidRDefault="00365426" w:rsidP="00277D3F">
            <w:pPr>
              <w:adjustRightInd w:val="0"/>
              <w:ind w:firstLine="300"/>
              <w:jc w:val="both"/>
              <w:outlineLvl w:val="0"/>
            </w:pPr>
            <w:r w:rsidRPr="00E33896">
              <w:t>раздел 3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 xml:space="preserve">Осуществление содержание автомобильных дорог в соответствии с требованиями технических </w:t>
            </w:r>
            <w:hyperlink r:id="rId9" w:history="1">
              <w:r w:rsidRPr="00E33896">
                <w:t>регламентов</w:t>
              </w:r>
            </w:hyperlink>
            <w:r w:rsidRPr="00E33896">
              <w:t xml:space="preserve"> в целях обеспечения сохранности автомобильных дорог, а </w:t>
            </w:r>
            <w:r w:rsidRPr="00E33896">
              <w:lastRenderedPageBreak/>
              <w:t>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lastRenderedPageBreak/>
              <w:t xml:space="preserve">часть 1 статьи 17 Федерального закона от 8 ноября 2007 года № 257-ФЗ «Об автомобильных дорогах и о дорожной деятельности в Российской Федерации и о внесении изменений в </w:t>
            </w:r>
            <w:r w:rsidRPr="00E33896">
              <w:lastRenderedPageBreak/>
              <w:t>отдельные законодательные акты Российской Федерации»;</w:t>
            </w:r>
          </w:p>
          <w:p w:rsidR="00365426" w:rsidRPr="00E33896" w:rsidRDefault="00365426" w:rsidP="00277D3F">
            <w:pPr>
              <w:adjustRightInd w:val="0"/>
              <w:ind w:firstLine="300"/>
              <w:jc w:val="both"/>
              <w:outlineLvl w:val="0"/>
            </w:pP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lastRenderedPageBreak/>
              <w:t>Соблюдение классификации работ по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часть 3 статьи 17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5426" w:rsidRPr="00E33896" w:rsidRDefault="00365426" w:rsidP="00277D3F">
            <w:pPr>
              <w:adjustRightInd w:val="0"/>
              <w:ind w:firstLine="300"/>
              <w:jc w:val="both"/>
              <w:outlineLvl w:val="0"/>
            </w:pPr>
            <w:r w:rsidRPr="00E33896">
              <w:t>раздел 4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 xml:space="preserve">Проведение работ по прокладке, переносу или переустройству инженерных коммуникаций, их эксплуатации в границах полосы отвода автомобильной дороги при наличии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w:t>
            </w:r>
            <w:r w:rsidRPr="00E33896">
              <w:lastRenderedPageBreak/>
              <w:t>разрешения на строительство), а также исполнение  владельцами таких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lastRenderedPageBreak/>
              <w:t>часть 2 статьи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33896">
              <w:br/>
            </w: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Проведение работ по капитальному ремонту, ремонту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местного значения осуществляется при наличии согласия в письменной форме владельцев автомобильных дорог, а также исполнение лицами осуществляющими работы  технических требований и условий, содержащихся в согласии владельца автомобильной дороги</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Части 4 и 5.1 статьи 20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33896">
              <w:tab/>
              <w:t xml:space="preserve"> </w:t>
            </w:r>
          </w:p>
        </w:tc>
      </w:tr>
      <w:tr w:rsidR="00365426" w:rsidRPr="00E33896" w:rsidTr="00365426">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часть 1 статьи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65426" w:rsidRPr="00E33896" w:rsidTr="00365426">
        <w:trPr>
          <w:trHeight w:val="605"/>
        </w:trPr>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 xml:space="preserve">Наличие разрешения на строительство, выданного в порядке, установленном </w:t>
            </w:r>
            <w:hyperlink r:id="rId10" w:history="1">
              <w:r w:rsidRPr="00E33896">
                <w:rPr>
                  <w:rStyle w:val="af9"/>
                  <w:color w:val="auto"/>
                  <w:u w:val="none"/>
                </w:rPr>
                <w:t>Градостроительным кодексом Российской Федерации</w:t>
              </w:r>
            </w:hyperlink>
            <w:r w:rsidRPr="00E33896">
              <w:t> и </w:t>
            </w:r>
            <w:hyperlink r:id="rId11" w:history="1">
              <w:r w:rsidRPr="00E33896">
                <w:rPr>
                  <w:rStyle w:val="af9"/>
                  <w:color w:val="auto"/>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33896">
              <w:t xml:space="preserve">», в случаях строительства, </w:t>
            </w:r>
            <w:r w:rsidRPr="00E33896">
              <w:lastRenderedPageBreak/>
              <w:t>реконструкции объектов дорожного сервиса</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lastRenderedPageBreak/>
              <w:t>части 4, 5 статьи 22 </w:t>
            </w:r>
            <w:hyperlink r:id="rId12" w:history="1">
              <w:r w:rsidRPr="00E33896">
                <w:rPr>
                  <w:rStyle w:val="af9"/>
                  <w:color w:val="auto"/>
                  <w:u w:val="none"/>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33896">
              <w:t xml:space="preserve">» </w:t>
            </w:r>
          </w:p>
        </w:tc>
      </w:tr>
      <w:tr w:rsidR="00365426" w:rsidRPr="00E33896" w:rsidTr="00365426">
        <w:trPr>
          <w:trHeight w:val="605"/>
        </w:trPr>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Соблюдение запрета на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Пункт 1 части 3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65426" w:rsidRPr="00E33896" w:rsidTr="00365426">
        <w:trPr>
          <w:trHeight w:val="605"/>
        </w:trPr>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Соблюдение запрета по размещению в границах полосы отвода автомобильной дороги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Пункт 2 части 3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65426" w:rsidRPr="00E33896" w:rsidTr="00365426">
        <w:trPr>
          <w:trHeight w:val="605"/>
        </w:trPr>
        <w:tc>
          <w:tcPr>
            <w:tcW w:w="4895"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pPr>
            <w:r w:rsidRPr="00E33896">
              <w:t>Соответствие автомобильной дороги (или) дорожного сооружения на ней требованиям к эксплуатационному состоянию автомобильных дорог и обеспечению безопасности дорожного движения</w:t>
            </w:r>
          </w:p>
        </w:tc>
        <w:tc>
          <w:tcPr>
            <w:tcW w:w="4753" w:type="dxa"/>
            <w:tcBorders>
              <w:top w:val="single" w:sz="4" w:space="0" w:color="auto"/>
              <w:left w:val="single" w:sz="4" w:space="0" w:color="auto"/>
              <w:bottom w:val="single" w:sz="4" w:space="0" w:color="auto"/>
              <w:right w:val="single" w:sz="4" w:space="0" w:color="auto"/>
            </w:tcBorders>
          </w:tcPr>
          <w:p w:rsidR="00365426" w:rsidRPr="00E33896" w:rsidRDefault="00365426" w:rsidP="00277D3F">
            <w:pPr>
              <w:adjustRightInd w:val="0"/>
              <w:ind w:firstLine="300"/>
              <w:jc w:val="both"/>
              <w:outlineLvl w:val="0"/>
              <w:rPr>
                <w:bCs/>
              </w:rPr>
            </w:pPr>
            <w:r w:rsidRPr="00E33896">
              <w:t xml:space="preserve">статья 12 Федерального закона </w:t>
            </w:r>
            <w:r w:rsidRPr="00E33896">
              <w:rPr>
                <w:bCs/>
              </w:rPr>
              <w:t>от 10 декабря 1995 года № 196-ФЗ «О безопасности дорожного движения»;</w:t>
            </w:r>
          </w:p>
          <w:p w:rsidR="00365426" w:rsidRPr="00E33896" w:rsidRDefault="00365426" w:rsidP="00277D3F">
            <w:pPr>
              <w:adjustRightInd w:val="0"/>
              <w:ind w:firstLine="300"/>
              <w:jc w:val="both"/>
              <w:outlineLvl w:val="0"/>
            </w:pPr>
            <w:r w:rsidRPr="00E33896">
              <w:t>пункт 13 статьи 3 Технического регламента Таможенного союза «Безопасность автомобильных дорог» (ТР ТС – 014/ 2011)</w:t>
            </w:r>
          </w:p>
        </w:tc>
      </w:tr>
    </w:tbl>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F3" w:rsidRDefault="00A413F3">
      <w:r>
        <w:separator/>
      </w:r>
    </w:p>
  </w:endnote>
  <w:endnote w:type="continuationSeparator" w:id="0">
    <w:p w:rsidR="00A413F3" w:rsidRDefault="00A4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F3" w:rsidRDefault="00A413F3">
      <w:r>
        <w:separator/>
      </w:r>
    </w:p>
  </w:footnote>
  <w:footnote w:type="continuationSeparator" w:id="0">
    <w:p w:rsidR="00A413F3" w:rsidRDefault="00A4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E028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7F36CBF83DBDB7F9D03EC23121F0BABF2D2635697F6DC80BF5BD1D6C684D92892350937788FC99C0AAC042F2C5B2765A2CD6C9EDF5380F548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705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0582"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586B992C7E3955EC28619A934694BB0B4F0D5AE4F6DE65A74F360933B08819BEBB76EF6D7EFFC0675F0919DD3702DFDC72CB500627160C07lDk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2C7D-50B5-4779-89A6-C1485E5D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7</cp:revision>
  <cp:lastPrinted>2019-02-11T12:33:00Z</cp:lastPrinted>
  <dcterms:created xsi:type="dcterms:W3CDTF">2021-11-29T07:26:00Z</dcterms:created>
  <dcterms:modified xsi:type="dcterms:W3CDTF">2021-12-13T05:42:00Z</dcterms:modified>
</cp:coreProperties>
</file>